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196"/>
        <w:gridCol w:w="1077"/>
        <w:gridCol w:w="4196"/>
      </w:tblGrid>
      <w:tr w:rsidR="00F877B6" w:rsidRPr="00B715B0">
        <w:trPr>
          <w:trHeight w:val="1124"/>
          <w:jc w:val="center"/>
        </w:trPr>
        <w:tc>
          <w:tcPr>
            <w:tcW w:w="4196" w:type="dxa"/>
            <w:vAlign w:val="center"/>
          </w:tcPr>
          <w:p w:rsidR="00F877B6" w:rsidRPr="00B715B0" w:rsidRDefault="00F877B6" w:rsidP="000902C4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Ministerul 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JUSTIŢIEI</w:t>
            </w:r>
          </w:p>
          <w:p w:rsidR="00F877B6" w:rsidRPr="00B715B0" w:rsidRDefault="00F877B6" w:rsidP="000902C4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al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 republicii 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moldova</w:t>
            </w:r>
          </w:p>
          <w:p w:rsidR="00F877B6" w:rsidRPr="00B715B0" w:rsidRDefault="00F877B6" w:rsidP="000902C4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</w:p>
          <w:p w:rsidR="00F877B6" w:rsidRPr="00B715B0" w:rsidRDefault="00F877B6" w:rsidP="000902C4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CENTRUL 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NAŢIONAL</w:t>
            </w:r>
          </w:p>
          <w:p w:rsidR="00F877B6" w:rsidRPr="00B715B0" w:rsidRDefault="00F877B6" w:rsidP="000902C4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DE EXPERTIZE 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JUDICIARE</w:t>
            </w:r>
          </w:p>
        </w:tc>
        <w:tc>
          <w:tcPr>
            <w:tcW w:w="1077" w:type="dxa"/>
            <w:vAlign w:val="center"/>
          </w:tcPr>
          <w:p w:rsidR="00F877B6" w:rsidRPr="00B715B0" w:rsidRDefault="00F877B6" w:rsidP="000902C4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DA161B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  <w:lang w:val="ro-RO" w:eastAsia="ro-R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47.25pt;height:54.75pt;visibility:visible">
                  <v:imagedata r:id="rId5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F877B6" w:rsidRPr="00B715B0" w:rsidRDefault="00F877B6" w:rsidP="000902C4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 ЮСТИЦИИ</w:t>
            </w:r>
          </w:p>
          <w:p w:rsidR="00F877B6" w:rsidRPr="00B715B0" w:rsidRDefault="00F877B6" w:rsidP="000902C4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Республики 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  <w:t>Молдова</w:t>
            </w:r>
          </w:p>
          <w:p w:rsidR="00F877B6" w:rsidRPr="00B715B0" w:rsidRDefault="00F877B6" w:rsidP="000902C4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</w:p>
          <w:p w:rsidR="00F877B6" w:rsidRPr="00B715B0" w:rsidRDefault="00F877B6" w:rsidP="000902C4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ЦЕНТР</w:t>
            </w:r>
          </w:p>
          <w:p w:rsidR="00F877B6" w:rsidRPr="00B715B0" w:rsidRDefault="00F877B6" w:rsidP="000902C4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СУДЕБНЫХ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ЭКСПЕРТИЗ</w:t>
            </w:r>
          </w:p>
        </w:tc>
      </w:tr>
      <w:tr w:rsidR="00F877B6" w:rsidRPr="00B715B0">
        <w:trPr>
          <w:jc w:val="center"/>
        </w:trPr>
        <w:tc>
          <w:tcPr>
            <w:tcW w:w="4196" w:type="dxa"/>
          </w:tcPr>
          <w:p w:rsidR="00F877B6" w:rsidRPr="00241A76" w:rsidRDefault="00F877B6" w:rsidP="000902C4">
            <w:pPr>
              <w:pStyle w:val="PlainText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</w:pPr>
            <w:r w:rsidRPr="00241A76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>MD-</w:t>
            </w:r>
            <w:r w:rsidRPr="00241A76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  <w:t>2009, mun. Chişinău, str. M.Cebotari, 2</w:t>
            </w:r>
          </w:p>
          <w:p w:rsidR="00F877B6" w:rsidRPr="00241A76" w:rsidRDefault="00F877B6" w:rsidP="000902C4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hyperlink r:id="rId6" w:history="1">
              <w:r w:rsidRPr="00241A76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www</w:t>
              </w:r>
              <w:r w:rsidRPr="00241A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.</w:t>
              </w:r>
              <w:r w:rsidRPr="00241A76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cnej.gov.md</w:t>
              </w:r>
            </w:hyperlink>
            <w:r w:rsidRPr="00241A76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; </w:t>
            </w:r>
            <w:r w:rsidRPr="00241A76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  <w:t xml:space="preserve">e-mail:  </w:t>
            </w:r>
            <w:hyperlink r:id="rId7" w:history="1">
              <w:r w:rsidRPr="00241A76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cnej@justice.gov.md</w:t>
              </w:r>
            </w:hyperlink>
          </w:p>
          <w:p w:rsidR="00F877B6" w:rsidRPr="00241A76" w:rsidRDefault="00F877B6" w:rsidP="000902C4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241A76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RO"/>
              </w:rPr>
              <w:t>tel: (022) 238-705, (022) 238-422, fax: (022) 238-422</w:t>
            </w:r>
          </w:p>
        </w:tc>
        <w:tc>
          <w:tcPr>
            <w:tcW w:w="1077" w:type="dxa"/>
          </w:tcPr>
          <w:p w:rsidR="00F877B6" w:rsidRPr="00241A76" w:rsidRDefault="00F877B6" w:rsidP="000902C4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</w:p>
        </w:tc>
        <w:tc>
          <w:tcPr>
            <w:tcW w:w="4196" w:type="dxa"/>
          </w:tcPr>
          <w:p w:rsidR="00F877B6" w:rsidRPr="00241A76" w:rsidRDefault="00F877B6" w:rsidP="000902C4">
            <w:pPr>
              <w:pStyle w:val="a0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241A76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>MD-2009, мун. Кишинэу , ул.М.Чeботарь,2</w:t>
            </w:r>
          </w:p>
          <w:p w:rsidR="00F877B6" w:rsidRPr="00241A76" w:rsidRDefault="00F877B6" w:rsidP="000902C4">
            <w:pPr>
              <w:pStyle w:val="a0"/>
              <w:jc w:val="center"/>
              <w:rPr>
                <w:rStyle w:val="Hyperlink"/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hyperlink r:id="rId8" w:history="1">
              <w:r w:rsidRPr="00241A76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www</w:t>
              </w:r>
              <w:r w:rsidRPr="00241A76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.</w:t>
              </w:r>
              <w:r w:rsidRPr="00241A76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cnej.gov.md</w:t>
              </w:r>
            </w:hyperlink>
            <w:r w:rsidRPr="00241A76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; </w:t>
            </w:r>
            <w:r w:rsidRPr="00241A76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 xml:space="preserve">e-mail:  </w:t>
            </w:r>
            <w:hyperlink r:id="rId9" w:history="1">
              <w:r w:rsidRPr="00241A76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ro-RO"/>
                </w:rPr>
                <w:t>cnej@justice.gov.md</w:t>
              </w:r>
            </w:hyperlink>
          </w:p>
          <w:p w:rsidR="00F877B6" w:rsidRPr="00241A76" w:rsidRDefault="00F877B6" w:rsidP="000902C4">
            <w:pPr>
              <w:pStyle w:val="a0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241A76"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  <w:t>тел. (022) 238-705, (022) 238-422, факс (022) 238-422</w:t>
            </w:r>
          </w:p>
        </w:tc>
      </w:tr>
    </w:tbl>
    <w:p w:rsidR="00F877B6" w:rsidRDefault="00F877B6" w:rsidP="00241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77B6" w:rsidRPr="00A27502" w:rsidRDefault="00F877B6" w:rsidP="00241A76">
      <w:pPr>
        <w:rPr>
          <w:rFonts w:ascii="Times New Roman" w:hAnsi="Times New Roman" w:cs="Times New Roman"/>
          <w:sz w:val="28"/>
          <w:szCs w:val="28"/>
        </w:rPr>
      </w:pPr>
      <w:r w:rsidRPr="00A2750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</w:t>
      </w:r>
      <w:r w:rsidRPr="00A2750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</w:t>
      </w:r>
      <w:r w:rsidRPr="00A27502">
        <w:rPr>
          <w:rFonts w:ascii="Times New Roman" w:hAnsi="Times New Roman" w:cs="Times New Roman"/>
          <w:sz w:val="28"/>
          <w:szCs w:val="28"/>
        </w:rPr>
        <w:t xml:space="preserve">  Aprobat</w:t>
      </w:r>
    </w:p>
    <w:p w:rsidR="00F877B6" w:rsidRPr="00A27502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50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l</w:t>
      </w:r>
      <w:r w:rsidRPr="00A27502">
        <w:rPr>
          <w:rFonts w:ascii="Times New Roman" w:hAnsi="Times New Roman" w:cs="Times New Roman"/>
          <w:sz w:val="28"/>
          <w:szCs w:val="28"/>
        </w:rPr>
        <w:t>a Consiliul Metodico-Ştiinţific de pe lângă CNEJ</w:t>
      </w:r>
    </w:p>
    <w:p w:rsidR="00F877B6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A2750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</w:t>
      </w:r>
      <w:r w:rsidRPr="00A27502">
        <w:rPr>
          <w:rFonts w:ascii="Times New Roman" w:hAnsi="Times New Roman" w:cs="Times New Roman"/>
          <w:sz w:val="28"/>
          <w:szCs w:val="28"/>
        </w:rPr>
        <w:t>prin Proces-verbal nr.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26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27502">
        <w:rPr>
          <w:rFonts w:ascii="Times New Roman" w:hAnsi="Times New Roman" w:cs="Times New Roman"/>
          <w:sz w:val="28"/>
          <w:szCs w:val="28"/>
        </w:rPr>
        <w:t xml:space="preserve">din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10 noiembrie </w:t>
      </w:r>
      <w:r w:rsidRPr="00A27502">
        <w:rPr>
          <w:rFonts w:ascii="Times New Roman" w:hAnsi="Times New Roman" w:cs="Times New Roman"/>
          <w:sz w:val="28"/>
          <w:szCs w:val="28"/>
        </w:rPr>
        <w:t xml:space="preserve">2017   </w:t>
      </w:r>
    </w:p>
    <w:p w:rsidR="00F877B6" w:rsidRPr="00B74DD5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F877B6" w:rsidRPr="00A27502" w:rsidRDefault="00F877B6" w:rsidP="00241A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2750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F877B6" w:rsidRDefault="00F877B6" w:rsidP="00CD642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77B6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Subiecte pentru examenul de calificare la specialit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ăţile</w:t>
      </w:r>
    </w:p>
    <w:p w:rsidR="00F877B6" w:rsidRPr="00241A76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„Expertiza produselor industriei uşoare de larg consum” Cod: 14.01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877B6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„Expertiza produselor alimentare” Cod: 14.02</w:t>
      </w:r>
    </w:p>
    <w:p w:rsidR="00F877B6" w:rsidRPr="00241A76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F877B6" w:rsidRPr="00241A76" w:rsidRDefault="00F877B6" w:rsidP="00241A7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Bazele teoretice şi legislative ale expertizei judiciar-merceologice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Subiectul expertizei judiciar merceologice.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Obiectele de investigaţii. Clasificarea şi sistematizarea obiectelor. Documentele ca purtători de informaţie despre datele, starea, caracteristica obiectelor, determinate ţinând cont de cunoştinţele în domeniul merceologiei.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Sarcinile expertizei judiciar merceologice. Întrebările ce se referă la competenţa expertului merceolog.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Asemănarea şi diferenţa între expertizele merceologice efectuate de experţii instituţiilor judiciare şi specialiştii din alte organizaţii.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Documentele normative a mărfurilor şi produselor ca parte componentă a cunoştinţelor speciale a expertului merceolog.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Metodele de investigaţii a mărfurilor, produselor la efectuarea expertizelor judiciar merceologice – organoleptică, de măsurat, de registru, de calcul, de experiment.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Utilizarea investigaţiilor complexe la soluţionarea unor întrebări judiciar merceologice /contabile, fizico-chimice, inginero-tehnice.</w:t>
      </w:r>
    </w:p>
    <w:p w:rsidR="00F877B6" w:rsidRPr="00241A76" w:rsidRDefault="00F877B6" w:rsidP="00241A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Noţiuni generale despre caracteristicile evaluative a mărfurilor industriale de larg consum şi produselor alimentare. Soluţionarea întrebărilor legate de determinarea preţului mărfurilor, produselor în condiţiile economiei de piaţă. Particularităţile efectuării expertizei judiciar-merceologice în baza documentelor. Întrebările soluţionate de expert la efectuarea expertizelor în baza documentelor. Automatizarea efectuării expertizelor judiciar merceologice.</w:t>
      </w:r>
    </w:p>
    <w:p w:rsidR="00F877B6" w:rsidRPr="00241A76" w:rsidRDefault="00F877B6" w:rsidP="00241A7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Întrebări organizatorice ale expertizei judiciar merceologice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F877B6" w:rsidRPr="00241A76" w:rsidRDefault="00F877B6" w:rsidP="00241A7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Materialele dosarului, necesare pentru efectuarea expertizei judiciar merceologice. Conlucrarea între organele de anchetă, judecător şi expert.</w:t>
      </w:r>
    </w:p>
    <w:p w:rsidR="00F877B6" w:rsidRPr="00241A76" w:rsidRDefault="00F877B6" w:rsidP="00241A7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Iniţierea expertului în circumstanţele materialului şi utilizarea lor la efectuarea expertizei.</w:t>
      </w:r>
    </w:p>
    <w:p w:rsidR="00F877B6" w:rsidRPr="00241A76" w:rsidRDefault="00F877B6" w:rsidP="00241A76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Organizarea efectuării expertizei judiciar merceologice cu ieşirea la faţa locului pentru examinarea obiectului.</w:t>
      </w:r>
    </w:p>
    <w:p w:rsidR="00F877B6" w:rsidRPr="00241A76" w:rsidRDefault="00F877B6" w:rsidP="00241A7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Păstrarea corpurilor delicte şi a documentelor de investigaţii.</w:t>
      </w:r>
    </w:p>
    <w:p w:rsidR="00F877B6" w:rsidRPr="00241A76" w:rsidRDefault="00F877B6" w:rsidP="00241A7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Bazele merceologiei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Obiectul şi subiectul  merceologiei.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Noţiune de marfă. Legătura merceologiei cu alte discipline ştiinţifico-economice, contabilitate, analiza activităţii economice a întreprinderilor, agenţilor economici, chimie, fizică, biologie, metrologie, microbiologie, tehnologia producerii mărfurilor, produselor.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Proprietăţile de consum ale mărfii, produsului.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Noţiune de calitate şi nivelul calităţii. Factorii ce influenţează calitatea. Condiţiile păstrării calităţii mărfii, produsului; ambalarea; transportarea; păstrarea.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Marcarea mărfurilor, produselor.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Genurile de documentaţie normativă şi importanţa lor.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Metodele de determinare a calităţii mărfii, produsului. Indicii calităţii mărfurilor, produselor.</w:t>
      </w:r>
    </w:p>
    <w:p w:rsidR="00F877B6" w:rsidRPr="00241A76" w:rsidRDefault="00F877B6" w:rsidP="00241A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Clasificarea mărfurilor, produselor pe grupuri, genuri.</w:t>
      </w:r>
    </w:p>
    <w:p w:rsidR="00F877B6" w:rsidRPr="00241A76" w:rsidRDefault="00F877B6" w:rsidP="00241A7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Cercetarea mărfurilor industriale de larg consum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Mărfuri textile – stofă, blănuri artificiale. Articole neţesute, articole dublate. Noţiuni generale despre ţesături fibroase, fire, fire toarse. Construcţia, proprietăţile de consum, asortimentul, testarea calităţii..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Confecţii – cerinţele faţă de articolele de confecţii. Proprietăţile de consum. Factorii ce formează calitatea articolelor de confecţii. Testarea calităţii, marcarea, ambalarea, transportarea,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Articole de tricotaj – proprietăţile de consum. Factorii ce formează calitatea. Clasificarea şi asortimentul. Calitatea articolelor de tricotaj.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Mărfuri şi articole foto şi cine – proprietăţile de consum. Clasificarea şi asortimentul. Testarea calităţii, marcarea, ambalarea,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Încălţăminte – proprietăţile de consum. Încălţăminte din piele, gumă, pâslă. Factorii ce formează calitatea. Testarea calităţii, marcarea, ambalarea.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Blănuri – materia primă – proprietăţile de bază, sortarea, defectele principale întâlnite. Articole din blană – clasificarea şi asortimentul, testarea calităţii, determinarea sortului. Marcarea, ambalarea, păstrare.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Aparate radio electronice – proprietăţile de consum. Clasificarea şi asortimentul. Testarea calităţii, marcarea, ambalarea,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Instrumente muzicale şi articole cu destinaţie cultural muzicală – proprietăţile de consum. Clasificarea şi asortimentul. Atestarea după parametrii calitativi, marcarea, ambalarea, transportarea şi păstrarea instrumentelor muzicale.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Mărfuri pentru sport şi turism – proprietăţile de consum. Clasificarea şi asortimentul. Cerinţele faţă de calitate. Păstrarea mărfurilor pentru sport şi turism.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Mărfuri şi articole pentru pescuit – proprietăţile de consum. Clasificarea şi asortimentul. Marcarea, ambalarea,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Articole şi unelte pentru vânat – proprietăţile de consum. Clasificarea şi asortimentul.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Jucării – proprietăţile de consum. Cerinţele principale faţă de jucărie – pedagogice, caracterul artistic şi sanitaro-igienic. Clasificarea, asortimentul de grupă. Testarea calităţii. Marcarea, ambalarea.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Articole de birotică şi destinaţie educativă – proprietăţile de consum. Clasificarea şi asortimentul,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Articole, accesorii şi produse destinate întreţinerii animalelor de companie. Clasificarea şi asortimentul. Cerinţele faţă de calitate. Marcarea. Ambalarea.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Ceasuri – clasificarea şi asortimentul. Codarea şi marcarea ceasurilor. Cerinţele  faţă de calitate.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Articole de giuvaere – materialele de bază utilizate în producere. Marcarea. Testarea calităţii. Ambalarea.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Articole de galanterie – proprietăţile de consum. Marcarea. Ambalarea.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 şi articole de parfumerie şi cosmetică – clasificarea şi asortimentul. Cerinţele faţă de calitate. Preambalarea, ambalarea. Marcarea,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Mobila - proprietăţile de consum. Particularităţile constructive. Clasificarea şi asortimentul. Factorii ce formează calitatea.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Veselă şi articole cu destinaţie gospodărească – proprietăţile de consum. Clasificarea şi asortimentul. Articole de faianţă şi porţelan, sticlă, cristal, galanteria gospodărească. Cerinţele faţă de calitate. Marcarea, ambalarea,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Produsele şi articole sanitare şi chimice în uzul casnic – proprietăţile de consum. Clasificarea şi asortimentul. Cerinţele faţă de calitate. Marcarea, ambalarea,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Articole poligrafice – proprietăţile de consum. Clasificarea şi asortimentul. Cerinţele faţă de calitate.</w:t>
      </w:r>
    </w:p>
    <w:p w:rsidR="00F877B6" w:rsidRPr="00241A76" w:rsidRDefault="00F877B6" w:rsidP="00241A7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 şi articole cu destinaţia igienei corporale – pentru copii şi maturi. Proprietăţile de consum şi cele ergonomice. Cerinţele faţă de calitate. Clasificarea şi asortimentul. Marcarea, ambalarea,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Cercetarea produselor alimentare şi agroalimentare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Fructe şi legume în stare proaspătă – structura şi compoziţia chimică a ţesuturilor. Clasificarea. Ambalarea. Păstrarea. Determinarea şi bolile fructelor şi legumelor.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Produsele prelucrării fructelor şi legumelor – conserve. Produselor congelate, murate, sărate. Fructe şi legume uscate. Indicii calitativi. Marcarea, ambalarea,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Ciupercile şi produsele prelucrării lor. Indicii calitativi. Ambalarea, transportarea şi păstrarea. Bolile şi deteriorările ciupercilor.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Pâinea şi produsele de panificaţie – particularităţile procesului de producere. Asortimentul şi cerinţele faţă de calitate. Defectele şi bolile pâinii.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Mărfuri de băcănie. Grâul ca materie primă. Crupe. Făină. Paste făinoase. Compoziţia chimică. Valoarea energetică şi nutriţională. Sortimentul. Cerinţele faţă de calitate. Ambalarea şi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Peştele şi produsele din peşte – compoziţia chimică şi valoarea nutriţională. Clasificarea şi caracteristica speciilor de peşti. Genurile de peşte şi produse din peşte comercializate. Condiţiile de păstrare şi transportare.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Conservele şi preservele din peşte – icre, semifabricate şi produse de culinarii. Producţiile mării. Valoarea nutriţională. Cerinţele faţă de calitate. Ambalarea,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Carnea şi produsele din carne – morfologia şi compoziţia. Construcţia animalelor şi marcarea animalului tăiat.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Produsele din carne – mezeluri, carne afumată, semifabricate. Conserve din carne. Valoarea nutriţională. Cerinţele faţă de calitate. Ambalarea, marcarea,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Carne de pasăre vânat sălbatic – genurile şi speciile. Compoziţia chimică şi valoarea nutriţională. Clasificarea. Indicii prospeţimii şi frăgezimii. Marcarea. Ambalarea,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Ouăle şi produsele prelucrării lor – compoziţia chimică şi valoarea nutriţională. Clasificarea pe categorii. Marcarea. Ambalarea,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Laptele şi produsele din lapte. Particularităţile de consum ai laptelui şi produselor din lapte. Compoziţia chimică. Cerinţele faţă de calitate. Defectele laptelui. Conserve din lapte. Untul. Marcarea. Ambalarea,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Caşcavalul – valoarea nutriţională. Clasificarea caşcavalurilor. Particularităţile procesului de producere. Defectele. Marcarea,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Normativele igienice ale calităţii şi securităţii materialelor prime alimentare. Morfologia chimică şi merceologia cărnii, laptelui, ouălor şi produselor prelucrării lor.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Dezinfecţia, dezinsecţia, deratiza</w:t>
      </w:r>
      <w:r w:rsidRPr="00241A76">
        <w:rPr>
          <w:sz w:val="28"/>
          <w:szCs w:val="28"/>
          <w:lang w:val="ro-RO"/>
        </w:rPr>
        <w:t>ț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ia  încăperilor de producere, păstrare şi comercializare a produselor alimentare, mărfurilor.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Produsele de cofetărie – particularităţile de producere, cerinţele faţă de calitate. Clasificarea. Defectele. Ambalarea, transportarea şi păstrarea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 de patiserie – clasificarea, valoarea nutriţională. Produse de patiserie cu destinaţie specială. Produse orientale. Cerinţele faţă de calitate. Marcarea. Ambalarea, transportarea şi păstrare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Mierea – valoarea nutriţională, genurile de miere. Compoziţia chimică.  Defectele. Marcarea. Ambalarea.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Amidonul şi produsele din amidon şi melasă. Sortimentul. Determinarea calităţii. Defectele. Marcarea. Ambalarea, transportarea şi păstrarea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Zahărul. Sortimentul. Indicii calitativi. Defectele. Marcarea. Ambalarea, transportarea şi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Băuturi alcoolice – alcoolul etilic. Clasificarea, asortimentul. Cerinţele faţă de calitate.. Marcarea. Ambalarea, transportarea şi păstrarea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Produsele cu efect gustativ – valoarea nutriţională, compoziţia chimică. Ceai, cafea. Băuturile de ceai şi cafea. Condimente. Clasificarea, sortimentul. Marcarea. Ambalarea, păstrarea.</w:t>
      </w:r>
    </w:p>
    <w:p w:rsidR="00F877B6" w:rsidRPr="00241A76" w:rsidRDefault="00F877B6" w:rsidP="00241A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Produsele de tutungerie – materia primă, clasificarea – ţigarete, ţigări. Tutun pentru pipă şi de mestecat, mahorcă pentru fumat şi mirosit. Compoziţia chimică. Particularităţile de producere. Clasificarea. Defectele. Marcarea. Ambalarea. Păstrarea.</w:t>
      </w:r>
    </w:p>
    <w:p w:rsidR="00F877B6" w:rsidRPr="00241A76" w:rsidRDefault="00F877B6" w:rsidP="00241A7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STUDIEREA DOCUMENTAŢIEI CONFOR CERINŢELOR STANDARDULUI ISO 17025:2006 </w:t>
      </w: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Cerinţe generale pentru competenţa laboratoarelor de încercări şi etalonări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PG-4.1 (2/0) Organizare.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PG-4.2 (2/0) Sistemul de management.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PG-4.3 (2/0) Controlul documentelor.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PG-4.6 (2/0) Servicii de aprovizionare şi furnituri.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PG-4.8 (2/0) Petiţii.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PG-4.9 (2/0) Controlul activităţilor de expertiză judiciare/extrajudiciare, neconformităţi.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PG-4.11 (2/0) Acţiuni corective.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PG-4.12 (2/0) Acţiuni preventive.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PG-4.14 (2/0) Audit intern.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PG-4.15 (2/0) Analiza efectuată de management.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PG-5.2 (2/0) Personal.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PG-5.3 (2/0) Condiţii de acomodare de mediu.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PG-5.4 (2/0) Metode de examinare şi validarea.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PG-5.5 (2/0) Echipament verificarea metodei.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PG-5.6 (2/0) Trasabilitatea măsurărilor.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PG-5.8 (2/0) Manipularea obiectelor de expertizat.</w:t>
      </w:r>
    </w:p>
    <w:p w:rsidR="00F877B6" w:rsidRPr="00241A7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PG-5.9 (2/0) Asigurarea calităţii rezultatelor expertizelor judiciare/extrajudiciare.</w:t>
      </w:r>
    </w:p>
    <w:p w:rsidR="00F877B6" w:rsidRDefault="00F877B6" w:rsidP="00241A7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sz w:val="28"/>
          <w:szCs w:val="28"/>
          <w:lang w:val="ro-RO"/>
        </w:rPr>
        <w:t>PG-5.10 (2/0) Raportarea rezultatelor.</w:t>
      </w:r>
    </w:p>
    <w:p w:rsidR="00F877B6" w:rsidRDefault="00F877B6" w:rsidP="00241A7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877B6" w:rsidRPr="00241A76" w:rsidRDefault="00F877B6" w:rsidP="00241A7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877B6" w:rsidRPr="00241A76" w:rsidRDefault="00F877B6" w:rsidP="00241A7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b/>
          <w:bCs/>
          <w:sz w:val="28"/>
          <w:szCs w:val="28"/>
          <w:lang w:val="ro-RO"/>
        </w:rPr>
        <w:t>Literatura:</w:t>
      </w:r>
      <w:r w:rsidRPr="00241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7B6" w:rsidRPr="00241A76" w:rsidRDefault="00F877B6" w:rsidP="00241A76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Основы товароведения/Д.И.Брозовский, М.С. Кагалова, М.М.Борисенко, М.: Экономика 1983.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Справочник товароведа продовольственных товаров: в 3х книгах – В.Л.Торган, К.А.Амаяв, С.И.Баранов и др. 2е прд. Переаб.- М.: Экономика, 1983.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Товароведение промышленных товаров/Г.А.Демидова, М.М.Дианиг, И.В.Егоров и др. – М.: Экономика, 1981.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Меховые головные уборы – В.М.Кодас – М.: Легпромбитиздат, 1989.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Товароведение культтоваров – Т.С.Остановкий; Л.Д.Митюшина, И.Д.Дмитриев, М.: Экономика, 1981.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Товароведение непродовольственных товаров/А.Л.Анваш, В.Ф. Елизаров – группа авторов, М.: Экономика, 1983.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Ювелирные товары и часы – В.Д.Логинов, М.: Экономика, 1989.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Товароведение обуви/З.Г.Савина, Л.И.Деробина, М.: Экономика, 1973.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 xml:space="preserve"> Товароведение  галантерейных  и  парфюмерно-косметических</w:t>
      </w:r>
    </w:p>
    <w:p w:rsidR="00F877B6" w:rsidRPr="00241A76" w:rsidRDefault="00F877B6" w:rsidP="00241A7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241A76">
        <w:rPr>
          <w:rFonts w:ascii="Times New Roman" w:hAnsi="Times New Roman" w:cs="Times New Roman"/>
          <w:sz w:val="28"/>
          <w:szCs w:val="28"/>
          <w:lang w:val="ru-RU"/>
        </w:rPr>
        <w:t xml:space="preserve">      товаров/Л.В.Савенко, М: Экономика, 1989.</w:t>
      </w:r>
    </w:p>
    <w:p w:rsidR="00F877B6" w:rsidRPr="00241A76" w:rsidRDefault="00F877B6" w:rsidP="00241A76">
      <w:pPr>
        <w:pStyle w:val="NoSpacing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1A76">
        <w:rPr>
          <w:rFonts w:ascii="Times New Roman" w:hAnsi="Times New Roman" w:cs="Times New Roman"/>
          <w:sz w:val="28"/>
          <w:szCs w:val="28"/>
          <w:lang w:val="ru-RU"/>
        </w:rPr>
        <w:t xml:space="preserve"> Товароведение хозяйственных товаров в 2х томах, А.С.Алексеев, М: Экономика, 1983.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Товароведение швейно-трикотажных товаров/Г.С.Гусейного, Г.В.Жильцова, М.: Экономика, 1979.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Товароведение пушно-мехового сырья и готовой продукции/А.В.Царева, М.: Легкая и пищевая промышленность, 1982.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А.А.Капкаев, Э.М.Айзенийтин, Мировое развитие химических волокон в 1996/Химические волокна – 1988 №3.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В.Е.Гусев, Химические волокна в текстильной промышленности – М.: Легкая индустрия, 1971.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Л.П.Крысого, М.Т.Деханова, Техника и технология плетения, М.: Легпромбитиздат, 1990.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В.Т.Месяченко, В.И.Копошинская, Товароведение текстильных товаров: М.: Экономика, 1987.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В.И.Стельмаштинко, Т.В.Розаренова, Материаловедение швейного производства – М.: Легпромбитиздат, 1987.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А.А.Воробьева, Н.Д.Запотова, Материаловедение обувного производства – М.: Гузлегпром, 1953.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Я.С.Эткин Товароведение пушно-мехового сырья и готовой продукции – М.: Легпромбитиздат, 1990.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Н.С.Алексеев и др. Теоретические основы товароведения непродовольственных товаров – М.: Экономика, 1988.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Исследование непродовольственных товаров – М.: Экономика, 1982.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Справочник обувщика. Технология/под ред. Доктора технических наук, А.А.Калиты – М.: Легпромбитиздат, 1989.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 xml:space="preserve">В.В.Павлин, Е.А.Мирошников – Товароведение обувных товаров – 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М.</w:t>
      </w:r>
      <w:r w:rsidRPr="00241A76">
        <w:rPr>
          <w:rFonts w:ascii="Times New Roman" w:hAnsi="Times New Roman" w:cs="Times New Roman"/>
          <w:sz w:val="28"/>
          <w:szCs w:val="28"/>
        </w:rPr>
        <w:t>: Экономика, 1983.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М.Н.Иванов и др. Товароведение обувных товаров – М.: Экономика, 1990.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Л.А.Цуркан, А.З.Малиникова – Определение микробилогической природы повреждений волокнистых материалов. Методические рекомендации для экспертов – Мн, 1994.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 xml:space="preserve"> </w:t>
      </w:r>
      <w:r w:rsidRPr="00241A76">
        <w:rPr>
          <w:rFonts w:ascii="Times New Roman" w:hAnsi="Times New Roman" w:cs="Times New Roman"/>
          <w:sz w:val="28"/>
          <w:szCs w:val="28"/>
          <w:lang w:val="ro-RO"/>
        </w:rPr>
        <w:t>T</w:t>
      </w:r>
      <w:r w:rsidRPr="00241A76">
        <w:rPr>
          <w:rFonts w:ascii="Times New Roman" w:hAnsi="Times New Roman" w:cs="Times New Roman"/>
          <w:sz w:val="28"/>
          <w:szCs w:val="28"/>
        </w:rPr>
        <w:t>ехнология кожи и меха/Под. Ред. И.П.Страхова – М.: Легпромбитиздат, 1985.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Л.И.Раева, Швейные и меховые изделия. Товароведения – М.: Экономика, 1985.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Ф.С.Кутюшев, Скорняжное производство – М.: Легпромбитиздат, 1989.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А.Н.Беседин, Ш.К.Танцов Товароведение пушно-меховых товаров – М.: Экономика, 1983.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М.А.Николаева, Товарная экспертиза, Москва 1998.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Т.А.Васильев, Л.А.Ибрашмов, Н.А.Нигнетьяня и др. Коммерческое товароведение и экспертиза – М.: «ЮНИТИ» 1992.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Н.М.Мечеткина, Т.И.Путимена, Экспертиза товаров – М., 2000.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П.А.Красовский и др. Товар и его экспертиза – М., 1998.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В.И. Царенский, Товароведение  электротоваров – М.: Экономика, 1988.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Товароведение пищевых продуктов/О.Г.Бровно, А.С.Гордиенко, А.Б.Дмитриева и др. – М. Экономика, 1989.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Пособие для продавца/Г.Г. Памбухенян и др. – М.: Экономика, 1987.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Экспресс методы оценки качества продовольственных товаров/Г.А.Парамонова, М.: Экономика, 1988.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Справочник продавца продовольственных товаров Н.Ш.Кираказова; М.: «Высшая школа», 1983.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В.П.Иванов Значение анализа документов по делам о хищениях на предприятиях мясоперерабатывающей промыщленности для разработки профилактических мер – М.: НИИСЭ 1976.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А.Р.Шекелев, И.А.Погешнеская Товароведение и экспертиза продовольственных товаров, Растов-на-Дону, Издательский центр «Март», 2001.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А.Р.Шекелев, О.И.Помухова - Товароведение и экспертиза продовольственных товаров, Растов-на-Дону, Издательский центр «Март», 2001.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В.И.Заинина, Экспертиза меда и способы обнаружения его фальсификации, М., 1999.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А.Р.Шекелев и др. Товароведение и экспертиза кондитерских товаров, Растов-на-Дону, Издательский центр «Март», 2001.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А.Р.Шекелев и др. Товароведение и экспертиза рыбы и рыбных товаров, Растов-на-Дону, Издательский центр «Март», 2001.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А.Р.Шекелев и др. Товароведение и экспертиза молока и молочных товаров, Растов-на-Дону, Издательский центр «Март», 2001.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А.Р.Шекелев и др. Товароведение и экспертиза мяса и мясных товаров, Растов-на-Дону, Издательский центр «Март», 2001.</w:t>
      </w:r>
    </w:p>
    <w:p w:rsidR="00F877B6" w:rsidRPr="00241A76" w:rsidRDefault="00F877B6" w:rsidP="00241A7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Экспертиза пищевых продуктов, Москва, 2002.</w:t>
      </w:r>
    </w:p>
    <w:p w:rsidR="00F877B6" w:rsidRPr="00241A76" w:rsidRDefault="00F877B6" w:rsidP="00241A76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Ветеринарно-санитарная экспертиза сырья животного и растительного происхождения, Растов-на-Дону, Издательский центр «Март», 2001.</w:t>
      </w:r>
    </w:p>
    <w:p w:rsidR="00F877B6" w:rsidRPr="00241A76" w:rsidRDefault="00F877B6" w:rsidP="00241A76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hAnsi="Times New Roman" w:cs="Times New Roman"/>
          <w:sz w:val="28"/>
          <w:szCs w:val="28"/>
        </w:rPr>
        <w:t>Пояснения к ТН ВЭД России в 6-ти томах, Санкт-Петербург «Тирекс», 2004.</w:t>
      </w:r>
    </w:p>
    <w:p w:rsidR="00F877B6" w:rsidRPr="00241A76" w:rsidRDefault="00F877B6" w:rsidP="00241A76">
      <w:pPr>
        <w:spacing w:after="0" w:line="240" w:lineRule="auto"/>
        <w:ind w:left="710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F877B6" w:rsidRPr="00241A76" w:rsidRDefault="00F877B6" w:rsidP="00241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41A76">
        <w:rPr>
          <w:rFonts w:ascii="Times New Roman" w:hAnsi="Times New Roman" w:cs="Times New Roman"/>
          <w:i/>
          <w:iCs/>
          <w:sz w:val="28"/>
          <w:szCs w:val="28"/>
        </w:rPr>
        <w:t>Sfârşitul documentului</w:t>
      </w:r>
    </w:p>
    <w:sectPr w:rsidR="00F877B6" w:rsidRPr="00241A76" w:rsidSect="001E6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6FF3"/>
    <w:multiLevelType w:val="hybridMultilevel"/>
    <w:tmpl w:val="CB867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7924"/>
    <w:multiLevelType w:val="hybridMultilevel"/>
    <w:tmpl w:val="4BEC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0458A"/>
    <w:multiLevelType w:val="hybridMultilevel"/>
    <w:tmpl w:val="9DDA303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D6875"/>
    <w:multiLevelType w:val="hybridMultilevel"/>
    <w:tmpl w:val="322657CE"/>
    <w:lvl w:ilvl="0" w:tplc="0F1020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A32CDD"/>
    <w:multiLevelType w:val="hybridMultilevel"/>
    <w:tmpl w:val="932A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005D6"/>
    <w:multiLevelType w:val="hybridMultilevel"/>
    <w:tmpl w:val="C86A3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37701"/>
    <w:multiLevelType w:val="hybridMultilevel"/>
    <w:tmpl w:val="BE763074"/>
    <w:lvl w:ilvl="0" w:tplc="16F05C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8132E6"/>
    <w:multiLevelType w:val="hybridMultilevel"/>
    <w:tmpl w:val="386C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B53CA"/>
    <w:multiLevelType w:val="hybridMultilevel"/>
    <w:tmpl w:val="4652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5F2311"/>
    <w:multiLevelType w:val="hybridMultilevel"/>
    <w:tmpl w:val="F58E1366"/>
    <w:lvl w:ilvl="0" w:tplc="95CE7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C7470"/>
    <w:multiLevelType w:val="hybridMultilevel"/>
    <w:tmpl w:val="3C78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63F39"/>
    <w:multiLevelType w:val="hybridMultilevel"/>
    <w:tmpl w:val="C1240612"/>
    <w:lvl w:ilvl="0" w:tplc="DAD6E53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F04B1"/>
    <w:multiLevelType w:val="hybridMultilevel"/>
    <w:tmpl w:val="6580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5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722"/>
    <w:rsid w:val="000824A7"/>
    <w:rsid w:val="000902C4"/>
    <w:rsid w:val="000F0492"/>
    <w:rsid w:val="001235A5"/>
    <w:rsid w:val="001B3D1A"/>
    <w:rsid w:val="001E6E85"/>
    <w:rsid w:val="001E71EC"/>
    <w:rsid w:val="001F0648"/>
    <w:rsid w:val="00241A76"/>
    <w:rsid w:val="00280D86"/>
    <w:rsid w:val="002E683E"/>
    <w:rsid w:val="00397F57"/>
    <w:rsid w:val="003D113D"/>
    <w:rsid w:val="004A11A3"/>
    <w:rsid w:val="00567153"/>
    <w:rsid w:val="005B4BB7"/>
    <w:rsid w:val="00607921"/>
    <w:rsid w:val="0063231F"/>
    <w:rsid w:val="008527C9"/>
    <w:rsid w:val="008940F1"/>
    <w:rsid w:val="008F3800"/>
    <w:rsid w:val="009D16A6"/>
    <w:rsid w:val="00A1000F"/>
    <w:rsid w:val="00A27502"/>
    <w:rsid w:val="00AA1A34"/>
    <w:rsid w:val="00AC7F48"/>
    <w:rsid w:val="00B64B4B"/>
    <w:rsid w:val="00B715B0"/>
    <w:rsid w:val="00B74DD5"/>
    <w:rsid w:val="00BD3FD7"/>
    <w:rsid w:val="00C40722"/>
    <w:rsid w:val="00CD642C"/>
    <w:rsid w:val="00D120B7"/>
    <w:rsid w:val="00DA161B"/>
    <w:rsid w:val="00DB5D6D"/>
    <w:rsid w:val="00E34768"/>
    <w:rsid w:val="00E41443"/>
    <w:rsid w:val="00E87A79"/>
    <w:rsid w:val="00F14829"/>
    <w:rsid w:val="00F877B6"/>
    <w:rsid w:val="00F9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8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нак Знак2 Знак Знак"/>
    <w:basedOn w:val="Normal"/>
    <w:uiPriority w:val="99"/>
    <w:rsid w:val="008F3800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paragraph" w:customStyle="1" w:styleId="Text">
    <w:name w:val="Text"/>
    <w:basedOn w:val="Normal"/>
    <w:link w:val="TextChar"/>
    <w:uiPriority w:val="99"/>
    <w:rsid w:val="008F3800"/>
    <w:pPr>
      <w:spacing w:after="100" w:afterAutospacing="1" w:line="240" w:lineRule="auto"/>
      <w:jc w:val="both"/>
    </w:pPr>
    <w:rPr>
      <w:sz w:val="24"/>
      <w:szCs w:val="24"/>
      <w:lang w:val="en-US" w:eastAsia="en-US"/>
    </w:rPr>
  </w:style>
  <w:style w:type="character" w:customStyle="1" w:styleId="TextChar">
    <w:name w:val="Text Char"/>
    <w:link w:val="Text"/>
    <w:uiPriority w:val="99"/>
    <w:locked/>
    <w:rsid w:val="008F3800"/>
    <w:rPr>
      <w:rFonts w:ascii="Calibri" w:hAnsi="Calibri" w:cs="Calibri"/>
      <w:sz w:val="24"/>
      <w:szCs w:val="24"/>
      <w:lang w:val="en-US" w:eastAsia="en-US"/>
    </w:rPr>
  </w:style>
  <w:style w:type="paragraph" w:styleId="NoSpacing">
    <w:name w:val="No Spacing"/>
    <w:uiPriority w:val="99"/>
    <w:qFormat/>
    <w:rsid w:val="008F3800"/>
    <w:rPr>
      <w:rFonts w:cs="Calibri"/>
      <w:lang w:val="en-US" w:eastAsia="en-US"/>
    </w:rPr>
  </w:style>
  <w:style w:type="character" w:customStyle="1" w:styleId="a">
    <w:name w:val="Основной текст + Не полужирный"/>
    <w:aliases w:val="Интервал 0 pt15"/>
    <w:uiPriority w:val="99"/>
    <w:rsid w:val="008F3800"/>
    <w:rPr>
      <w:rFonts w:ascii="Times New Roman" w:hAnsi="Times New Roman" w:cs="Times New Roman"/>
      <w:b/>
      <w:bCs/>
      <w:spacing w:val="8"/>
      <w:sz w:val="20"/>
      <w:szCs w:val="20"/>
      <w:u w:val="none"/>
    </w:rPr>
  </w:style>
  <w:style w:type="paragraph" w:styleId="BodyTextIndent">
    <w:name w:val="Body Text Indent"/>
    <w:basedOn w:val="Normal"/>
    <w:link w:val="BodyTextIndentChar"/>
    <w:uiPriority w:val="99"/>
    <w:rsid w:val="008F3800"/>
    <w:pPr>
      <w:spacing w:before="60" w:after="120" w:line="240" w:lineRule="auto"/>
      <w:ind w:left="283"/>
      <w:jc w:val="both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F3800"/>
    <w:rPr>
      <w:rFonts w:ascii="Calibri" w:hAnsi="Calibri" w:cs="Calibri"/>
      <w:lang w:eastAsia="en-US"/>
    </w:rPr>
  </w:style>
  <w:style w:type="paragraph" w:styleId="ListParagraph">
    <w:name w:val="List Paragraph"/>
    <w:basedOn w:val="Normal"/>
    <w:uiPriority w:val="99"/>
    <w:qFormat/>
    <w:rsid w:val="008F3800"/>
    <w:pPr>
      <w:ind w:left="720"/>
    </w:pPr>
  </w:style>
  <w:style w:type="paragraph" w:styleId="BodyText">
    <w:name w:val="Body Text"/>
    <w:basedOn w:val="Normal"/>
    <w:link w:val="BodyTextChar"/>
    <w:uiPriority w:val="99"/>
    <w:semiHidden/>
    <w:rsid w:val="00D120B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120B7"/>
  </w:style>
  <w:style w:type="character" w:styleId="Hyperlink">
    <w:name w:val="Hyperlink"/>
    <w:basedOn w:val="DefaultParagraphFont"/>
    <w:uiPriority w:val="99"/>
    <w:rsid w:val="00D120B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D120B7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120B7"/>
    <w:rPr>
      <w:rFonts w:ascii="Courier New" w:hAnsi="Courier New" w:cs="Courier New"/>
      <w:sz w:val="20"/>
      <w:szCs w:val="20"/>
    </w:rPr>
  </w:style>
  <w:style w:type="paragraph" w:customStyle="1" w:styleId="CharCharCharCharCharCharCharCharCharCharCharCharCharChar">
    <w:name w:val="Знак Знак Char Char Знак Знак Char Char Знак Char Char Знак Знак Char Char Знак Знак Char Char Знак Знак Char Char Знак Знак Char Char"/>
    <w:basedOn w:val="Normal"/>
    <w:uiPriority w:val="99"/>
    <w:rsid w:val="00D120B7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1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20B7"/>
    <w:rPr>
      <w:rFonts w:ascii="Tahoma" w:hAnsi="Tahoma" w:cs="Tahoma"/>
      <w:sz w:val="16"/>
      <w:szCs w:val="16"/>
    </w:rPr>
  </w:style>
  <w:style w:type="character" w:customStyle="1" w:styleId="4">
    <w:name w:val="Знак Знак4"/>
    <w:uiPriority w:val="99"/>
    <w:locked/>
    <w:rsid w:val="00241A76"/>
    <w:rPr>
      <w:rFonts w:ascii="Courier New" w:hAnsi="Courier New" w:cs="Courier New"/>
      <w:lang w:val="ru-RU" w:eastAsia="ru-RU"/>
    </w:rPr>
  </w:style>
  <w:style w:type="paragraph" w:customStyle="1" w:styleId="a0">
    <w:name w:val="Без интервала"/>
    <w:uiPriority w:val="99"/>
    <w:rsid w:val="00241A7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ej@justice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ej.gov.m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7</Pages>
  <Words>2547</Words>
  <Characters>14518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-Florea-</cp:lastModifiedBy>
  <cp:revision>15</cp:revision>
  <dcterms:created xsi:type="dcterms:W3CDTF">2017-10-30T10:40:00Z</dcterms:created>
  <dcterms:modified xsi:type="dcterms:W3CDTF">2017-11-11T07:59:00Z</dcterms:modified>
</cp:coreProperties>
</file>